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4E" w:rsidRDefault="00F530B7" w:rsidP="00F530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экономической деятельности субъектов МСП в 2021 году.</w:t>
      </w:r>
    </w:p>
    <w:p w:rsidR="00F530B7" w:rsidRPr="00725108" w:rsidRDefault="00F530B7" w:rsidP="00F53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</w:t>
      </w:r>
      <w:r w:rsidRPr="00725108">
        <w:rPr>
          <w:rFonts w:ascii="Times New Roman" w:eastAsia="Calibri" w:hAnsi="Times New Roman" w:cs="Times New Roman"/>
          <w:sz w:val="28"/>
          <w:szCs w:val="28"/>
        </w:rPr>
        <w:t>оги социально-экономического развития муниципального образования город Тула за 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5108">
        <w:rPr>
          <w:rFonts w:ascii="Times New Roman" w:eastAsia="Calibri" w:hAnsi="Times New Roman" w:cs="Times New Roman"/>
          <w:sz w:val="28"/>
          <w:szCs w:val="28"/>
        </w:rPr>
        <w:t>год характеризуются следующими показателями.</w:t>
      </w:r>
      <w:bookmarkStart w:id="0" w:name="_GoBack"/>
      <w:bookmarkEnd w:id="0"/>
    </w:p>
    <w:p w:rsidR="00F530B7" w:rsidRDefault="00F530B7" w:rsidP="00F53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108">
        <w:rPr>
          <w:rFonts w:ascii="Times New Roman" w:eastAsia="Calibri" w:hAnsi="Times New Roman" w:cs="Times New Roman"/>
          <w:sz w:val="28"/>
          <w:szCs w:val="28"/>
        </w:rPr>
        <w:t xml:space="preserve">Промышленным производством в муниципальном образовании город Тула занято 124 предприятия, относящихся к категории крупных и средних, с численностью работающих 72,1 тыс. чел.   </w:t>
      </w:r>
    </w:p>
    <w:p w:rsidR="00F530B7" w:rsidRDefault="00F530B7" w:rsidP="00F530B7">
      <w:pPr>
        <w:pStyle w:val="1"/>
        <w:ind w:firstLine="709"/>
        <w:jc w:val="both"/>
        <w:rPr>
          <w:sz w:val="28"/>
          <w:szCs w:val="28"/>
        </w:rPr>
      </w:pPr>
      <w:r w:rsidRPr="000D7247">
        <w:rPr>
          <w:sz w:val="28"/>
          <w:szCs w:val="28"/>
        </w:rPr>
        <w:t xml:space="preserve">С учетом текущих тенденций и планов предприятий, темп роста отгруженной продукции в </w:t>
      </w:r>
      <w:r>
        <w:rPr>
          <w:sz w:val="28"/>
          <w:szCs w:val="28"/>
        </w:rPr>
        <w:t xml:space="preserve">2021 </w:t>
      </w:r>
      <w:r w:rsidRPr="000D7247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(крупные и средние предприятия) в действующих ценах </w:t>
      </w:r>
      <w:r w:rsidRPr="000D7247">
        <w:rPr>
          <w:sz w:val="28"/>
          <w:szCs w:val="28"/>
        </w:rPr>
        <w:t xml:space="preserve">ожидается на уровне </w:t>
      </w:r>
      <w:r>
        <w:rPr>
          <w:sz w:val="28"/>
          <w:szCs w:val="28"/>
        </w:rPr>
        <w:t>108,9</w:t>
      </w:r>
      <w:r w:rsidRPr="000D7247">
        <w:rPr>
          <w:sz w:val="28"/>
          <w:szCs w:val="28"/>
        </w:rPr>
        <w:t>%</w:t>
      </w:r>
      <w:r>
        <w:rPr>
          <w:sz w:val="28"/>
          <w:szCs w:val="28"/>
        </w:rPr>
        <w:t>. В</w:t>
      </w:r>
      <w:r w:rsidRPr="000D72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 </w:t>
      </w:r>
      <w:r w:rsidRPr="000D7247">
        <w:rPr>
          <w:sz w:val="28"/>
          <w:szCs w:val="28"/>
        </w:rPr>
        <w:t xml:space="preserve">году с учетом завершения действующих контрактов на поставку продукции оборонных предприятий </w:t>
      </w:r>
      <w:r>
        <w:rPr>
          <w:sz w:val="28"/>
          <w:szCs w:val="28"/>
        </w:rPr>
        <w:t xml:space="preserve">прогнозируется темп роста на уровне </w:t>
      </w:r>
      <w:r w:rsidRPr="000D7247">
        <w:rPr>
          <w:sz w:val="28"/>
          <w:szCs w:val="28"/>
        </w:rPr>
        <w:t>– 10</w:t>
      </w:r>
      <w:r>
        <w:rPr>
          <w:sz w:val="28"/>
          <w:szCs w:val="28"/>
        </w:rPr>
        <w:t>7</w:t>
      </w:r>
      <w:r w:rsidRPr="000D7247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0D7247">
        <w:rPr>
          <w:sz w:val="28"/>
          <w:szCs w:val="28"/>
        </w:rPr>
        <w:t xml:space="preserve">%. </w:t>
      </w:r>
    </w:p>
    <w:p w:rsidR="00F530B7" w:rsidRDefault="00F530B7" w:rsidP="00F53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108">
        <w:rPr>
          <w:rFonts w:ascii="Times New Roman" w:eastAsia="Calibri" w:hAnsi="Times New Roman" w:cs="Times New Roman"/>
          <w:sz w:val="28"/>
          <w:szCs w:val="28"/>
        </w:rPr>
        <w:t xml:space="preserve">Наибольшая доля объема отгруженной продукции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2021 год </w:t>
      </w:r>
      <w:r w:rsidRPr="00725108">
        <w:rPr>
          <w:rFonts w:ascii="Times New Roman" w:eastAsia="Calibri" w:hAnsi="Times New Roman" w:cs="Times New Roman"/>
          <w:sz w:val="28"/>
          <w:szCs w:val="28"/>
        </w:rPr>
        <w:t>в промышленности приходится на предприятия металлургического производства (40,3%), производства изделий машиностроения (36,7%), производства пищевых продуктов и напитков (11,4%).</w:t>
      </w:r>
    </w:p>
    <w:p w:rsidR="00F530B7" w:rsidRPr="000D7247" w:rsidRDefault="00F530B7" w:rsidP="00F530B7">
      <w:pPr>
        <w:pStyle w:val="1"/>
        <w:ind w:firstLine="709"/>
        <w:jc w:val="both"/>
        <w:rPr>
          <w:sz w:val="28"/>
          <w:szCs w:val="28"/>
        </w:rPr>
      </w:pPr>
      <w:r w:rsidRPr="000D7247">
        <w:rPr>
          <w:sz w:val="28"/>
          <w:szCs w:val="28"/>
        </w:rPr>
        <w:t xml:space="preserve">В </w:t>
      </w:r>
      <w:r>
        <w:rPr>
          <w:sz w:val="28"/>
          <w:szCs w:val="28"/>
        </w:rPr>
        <w:t>20</w:t>
      </w:r>
      <w:r w:rsidRPr="000D7247">
        <w:rPr>
          <w:sz w:val="28"/>
          <w:szCs w:val="28"/>
        </w:rPr>
        <w:t>23-</w:t>
      </w:r>
      <w:r>
        <w:rPr>
          <w:sz w:val="28"/>
          <w:szCs w:val="28"/>
        </w:rPr>
        <w:t>20</w:t>
      </w:r>
      <w:r w:rsidRPr="000D7247">
        <w:rPr>
          <w:sz w:val="28"/>
          <w:szCs w:val="28"/>
        </w:rPr>
        <w:t>24 год</w:t>
      </w:r>
      <w:r>
        <w:rPr>
          <w:sz w:val="28"/>
          <w:szCs w:val="28"/>
        </w:rPr>
        <w:t>ы</w:t>
      </w:r>
      <w:r w:rsidRPr="000D7247">
        <w:rPr>
          <w:sz w:val="28"/>
          <w:szCs w:val="28"/>
        </w:rPr>
        <w:t xml:space="preserve"> годовой объем отгруженной продукции составит соответственно: в действующих ценах – </w:t>
      </w:r>
      <w:r>
        <w:rPr>
          <w:sz w:val="28"/>
          <w:szCs w:val="28"/>
        </w:rPr>
        <w:t>10</w:t>
      </w:r>
      <w:r w:rsidRPr="000D7247">
        <w:rPr>
          <w:sz w:val="28"/>
          <w:szCs w:val="28"/>
        </w:rPr>
        <w:t>6,</w:t>
      </w:r>
      <w:r>
        <w:rPr>
          <w:sz w:val="28"/>
          <w:szCs w:val="28"/>
        </w:rPr>
        <w:t>8</w:t>
      </w:r>
      <w:r w:rsidRPr="000D7247">
        <w:rPr>
          <w:sz w:val="28"/>
          <w:szCs w:val="28"/>
        </w:rPr>
        <w:t xml:space="preserve">% и </w:t>
      </w:r>
      <w:r>
        <w:rPr>
          <w:sz w:val="28"/>
          <w:szCs w:val="28"/>
        </w:rPr>
        <w:t>107</w:t>
      </w:r>
      <w:r w:rsidRPr="000D7247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0D7247">
        <w:rPr>
          <w:sz w:val="28"/>
          <w:szCs w:val="28"/>
        </w:rPr>
        <w:t>%. Положительными импульсами ожидаемого роста промышленного производства станут металлургия и машиностроение, способные поддержать заданный вектор развития.</w:t>
      </w:r>
    </w:p>
    <w:p w:rsidR="00F530B7" w:rsidRPr="00F530B7" w:rsidRDefault="00F530B7" w:rsidP="00F530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30B7" w:rsidRPr="00F5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B0"/>
    <w:rsid w:val="002921B0"/>
    <w:rsid w:val="00EE534E"/>
    <w:rsid w:val="00F5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6BB7"/>
  <w15:chartTrackingRefBased/>
  <w15:docId w15:val="{73DD4861-4B83-4164-83B5-B96AE30B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5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Елена Викторовна</dc:creator>
  <cp:keywords/>
  <dc:description/>
  <cp:lastModifiedBy>Зайцева Елена Викторовна</cp:lastModifiedBy>
  <cp:revision>2</cp:revision>
  <dcterms:created xsi:type="dcterms:W3CDTF">2022-01-10T10:30:00Z</dcterms:created>
  <dcterms:modified xsi:type="dcterms:W3CDTF">2022-01-10T10:31:00Z</dcterms:modified>
</cp:coreProperties>
</file>